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玉林师范学院温开水供应服务招商方案</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黑体" w:hAnsi="黑体" w:eastAsia="黑体" w:cs="黑体"/>
          <w:b/>
          <w:color w:val="auto"/>
          <w:sz w:val="32"/>
          <w:szCs w:val="32"/>
        </w:rPr>
      </w:pPr>
      <w:bookmarkStart w:id="0" w:name="_GoBack"/>
      <w:bookmarkEnd w:id="0"/>
      <w:r>
        <w:rPr>
          <w:rFonts w:hint="eastAsia" w:ascii="黑体" w:hAnsi="黑体" w:eastAsia="黑体" w:cs="黑体"/>
          <w:b/>
          <w:color w:val="auto"/>
          <w:sz w:val="32"/>
          <w:szCs w:val="32"/>
        </w:rPr>
        <w:t>评分标准</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86"/>
        <w:gridCol w:w="1052"/>
        <w:gridCol w:w="5220"/>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572" w:type="dxa"/>
            <w:vAlign w:val="center"/>
          </w:tcPr>
          <w:p>
            <w:pPr>
              <w:pStyle w:val="19"/>
              <w:rPr>
                <w:color w:val="auto"/>
                <w:szCs w:val="21"/>
              </w:rPr>
            </w:pPr>
            <w:r>
              <w:rPr>
                <w:rFonts w:hint="eastAsia"/>
                <w:color w:val="auto"/>
                <w:szCs w:val="21"/>
              </w:rPr>
              <w:t>序号</w:t>
            </w:r>
          </w:p>
        </w:tc>
        <w:tc>
          <w:tcPr>
            <w:tcW w:w="1086" w:type="dxa"/>
            <w:vAlign w:val="center"/>
          </w:tcPr>
          <w:p>
            <w:pPr>
              <w:pStyle w:val="19"/>
              <w:rPr>
                <w:color w:val="auto"/>
                <w:szCs w:val="21"/>
              </w:rPr>
            </w:pPr>
            <w:r>
              <w:rPr>
                <w:rFonts w:hint="eastAsia"/>
                <w:color w:val="auto"/>
                <w:szCs w:val="21"/>
              </w:rPr>
              <w:t>评分因素及权值</w:t>
            </w:r>
          </w:p>
        </w:tc>
        <w:tc>
          <w:tcPr>
            <w:tcW w:w="1052" w:type="dxa"/>
            <w:vAlign w:val="center"/>
          </w:tcPr>
          <w:p>
            <w:pPr>
              <w:pStyle w:val="19"/>
              <w:rPr>
                <w:color w:val="auto"/>
                <w:szCs w:val="21"/>
              </w:rPr>
            </w:pPr>
            <w:r>
              <w:rPr>
                <w:rFonts w:hint="eastAsia"/>
                <w:color w:val="auto"/>
                <w:szCs w:val="21"/>
              </w:rPr>
              <w:t>分值</w:t>
            </w:r>
          </w:p>
        </w:tc>
        <w:tc>
          <w:tcPr>
            <w:tcW w:w="5220" w:type="dxa"/>
            <w:vAlign w:val="center"/>
          </w:tcPr>
          <w:p>
            <w:pPr>
              <w:pStyle w:val="19"/>
              <w:rPr>
                <w:color w:val="auto"/>
                <w:szCs w:val="21"/>
              </w:rPr>
            </w:pPr>
            <w:r>
              <w:rPr>
                <w:rFonts w:hint="eastAsia"/>
                <w:color w:val="auto"/>
                <w:szCs w:val="21"/>
              </w:rPr>
              <w:t>评分标准</w:t>
            </w:r>
          </w:p>
        </w:tc>
        <w:tc>
          <w:tcPr>
            <w:tcW w:w="592" w:type="dxa"/>
            <w:vAlign w:val="center"/>
          </w:tcPr>
          <w:p>
            <w:pPr>
              <w:pStyle w:val="19"/>
              <w:rPr>
                <w:color w:val="auto"/>
                <w:szCs w:val="21"/>
              </w:rPr>
            </w:pPr>
            <w:r>
              <w:rPr>
                <w:rFonts w:hint="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72" w:type="dxa"/>
            <w:vAlign w:val="center"/>
          </w:tcPr>
          <w:p>
            <w:pPr>
              <w:pStyle w:val="19"/>
              <w:rPr>
                <w:color w:val="auto"/>
                <w:szCs w:val="21"/>
              </w:rPr>
            </w:pPr>
            <w:r>
              <w:rPr>
                <w:rFonts w:hint="eastAsia"/>
                <w:color w:val="auto"/>
                <w:szCs w:val="21"/>
              </w:rPr>
              <w:t>1</w:t>
            </w:r>
          </w:p>
        </w:tc>
        <w:tc>
          <w:tcPr>
            <w:tcW w:w="1086" w:type="dxa"/>
            <w:vAlign w:val="center"/>
          </w:tcPr>
          <w:p>
            <w:pPr>
              <w:pStyle w:val="19"/>
              <w:rPr>
                <w:color w:val="auto"/>
                <w:szCs w:val="21"/>
              </w:rPr>
            </w:pPr>
            <w:r>
              <w:rPr>
                <w:rFonts w:hint="eastAsia"/>
                <w:color w:val="auto"/>
                <w:szCs w:val="21"/>
              </w:rPr>
              <w:t>报价</w:t>
            </w:r>
            <w:r>
              <w:rPr>
                <w:color w:val="auto"/>
                <w:szCs w:val="21"/>
              </w:rPr>
              <w:t>（4</w:t>
            </w:r>
            <w:r>
              <w:rPr>
                <w:rFonts w:hint="eastAsia"/>
                <w:color w:val="auto"/>
                <w:szCs w:val="21"/>
              </w:rPr>
              <w:t>0</w:t>
            </w:r>
            <w:r>
              <w:rPr>
                <w:color w:val="auto"/>
                <w:szCs w:val="21"/>
              </w:rPr>
              <w:t>%）</w:t>
            </w:r>
          </w:p>
        </w:tc>
        <w:tc>
          <w:tcPr>
            <w:tcW w:w="1052" w:type="dxa"/>
            <w:vAlign w:val="center"/>
          </w:tcPr>
          <w:p>
            <w:pPr>
              <w:pStyle w:val="19"/>
              <w:rPr>
                <w:color w:val="auto"/>
                <w:szCs w:val="21"/>
              </w:rPr>
            </w:pPr>
            <w:r>
              <w:rPr>
                <w:rFonts w:hint="eastAsia"/>
                <w:color w:val="auto"/>
                <w:szCs w:val="21"/>
              </w:rPr>
              <w:t>收费标准及场地费</w:t>
            </w:r>
          </w:p>
          <w:p>
            <w:pPr>
              <w:pStyle w:val="19"/>
              <w:rPr>
                <w:color w:val="auto"/>
                <w:szCs w:val="21"/>
              </w:rPr>
            </w:pPr>
            <w:r>
              <w:rPr>
                <w:color w:val="auto"/>
                <w:szCs w:val="21"/>
              </w:rPr>
              <w:t>（40分）</w:t>
            </w:r>
          </w:p>
        </w:tc>
        <w:tc>
          <w:tcPr>
            <w:tcW w:w="5220" w:type="dxa"/>
            <w:vAlign w:val="center"/>
          </w:tcPr>
          <w:p>
            <w:pPr>
              <w:rPr>
                <w:color w:val="auto"/>
                <w:sz w:val="21"/>
                <w:szCs w:val="21"/>
              </w:rPr>
            </w:pPr>
            <w:r>
              <w:rPr>
                <w:rFonts w:hint="eastAsia" w:ascii="宋体" w:hAnsi="宋体" w:eastAsia="宋体" w:cs="宋体"/>
                <w:color w:val="auto"/>
                <w:sz w:val="21"/>
                <w:szCs w:val="21"/>
              </w:rPr>
              <w:t>1.投标价格开水超过0.25元/500mL，温水超过0.20元/500mL为0分；开水0.25元/500mL，温水0.20元/500mL为</w:t>
            </w:r>
            <w:r>
              <w:rPr>
                <w:rFonts w:ascii="宋体" w:hAnsi="宋体" w:eastAsia="宋体" w:cs="宋体"/>
                <w:color w:val="auto"/>
                <w:sz w:val="21"/>
                <w:szCs w:val="21"/>
              </w:rPr>
              <w:t>20</w:t>
            </w:r>
            <w:r>
              <w:rPr>
                <w:rFonts w:hint="eastAsia" w:ascii="宋体" w:hAnsi="宋体" w:eastAsia="宋体" w:cs="宋体"/>
                <w:color w:val="auto"/>
                <w:sz w:val="21"/>
                <w:szCs w:val="21"/>
              </w:rPr>
              <w:t>分；开、温水每500mL降0.01元加</w:t>
            </w:r>
            <w:r>
              <w:rPr>
                <w:rFonts w:ascii="宋体" w:hAnsi="宋体" w:eastAsia="宋体" w:cs="宋体"/>
                <w:color w:val="auto"/>
                <w:sz w:val="21"/>
                <w:szCs w:val="21"/>
              </w:rPr>
              <w:t>2</w:t>
            </w:r>
            <w:r>
              <w:rPr>
                <w:rFonts w:hint="eastAsia" w:ascii="宋体" w:hAnsi="宋体" w:eastAsia="宋体" w:cs="宋体"/>
                <w:color w:val="auto"/>
                <w:sz w:val="21"/>
                <w:szCs w:val="21"/>
              </w:rPr>
              <w:t>分，满分为</w:t>
            </w:r>
            <w:r>
              <w:rPr>
                <w:rFonts w:ascii="宋体" w:hAnsi="宋体" w:eastAsia="宋体" w:cs="宋体"/>
                <w:color w:val="auto"/>
                <w:sz w:val="21"/>
                <w:szCs w:val="21"/>
              </w:rPr>
              <w:t>3</w:t>
            </w:r>
            <w:r>
              <w:rPr>
                <w:rFonts w:hint="eastAsia" w:ascii="宋体" w:hAnsi="宋体" w:eastAsia="宋体" w:cs="宋体"/>
                <w:color w:val="auto"/>
                <w:sz w:val="21"/>
                <w:szCs w:val="21"/>
              </w:rPr>
              <w:t>0分。</w:t>
            </w:r>
          </w:p>
          <w:p>
            <w:pPr>
              <w:rPr>
                <w:rFonts w:eastAsia="宋体"/>
                <w:color w:val="auto"/>
                <w:sz w:val="21"/>
                <w:szCs w:val="21"/>
              </w:rPr>
            </w:pPr>
            <w:r>
              <w:rPr>
                <w:rFonts w:hint="eastAsia" w:ascii="宋体" w:hAnsi="宋体" w:eastAsia="宋体" w:cs="宋体"/>
                <w:color w:val="auto"/>
                <w:sz w:val="21"/>
                <w:szCs w:val="21"/>
              </w:rPr>
              <w:t>2.上交学校的场地费为营运总收入减去水电成本后的5 % 为6 分，以后每增加一个百分点加2分，满分10分。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2" w:type="dxa"/>
            <w:vMerge w:val="restart"/>
            <w:vAlign w:val="center"/>
          </w:tcPr>
          <w:p>
            <w:pPr>
              <w:pStyle w:val="19"/>
              <w:rPr>
                <w:color w:val="auto"/>
                <w:szCs w:val="21"/>
              </w:rPr>
            </w:pPr>
          </w:p>
        </w:tc>
        <w:tc>
          <w:tcPr>
            <w:tcW w:w="1086" w:type="dxa"/>
            <w:vMerge w:val="restart"/>
            <w:vAlign w:val="center"/>
          </w:tcPr>
          <w:p>
            <w:pPr>
              <w:pStyle w:val="19"/>
              <w:rPr>
                <w:color w:val="auto"/>
                <w:szCs w:val="21"/>
              </w:rPr>
            </w:pPr>
            <w:r>
              <w:rPr>
                <w:rFonts w:hint="eastAsia"/>
                <w:color w:val="auto"/>
                <w:szCs w:val="21"/>
              </w:rPr>
              <w:t>技术部分（46%）</w:t>
            </w:r>
          </w:p>
        </w:tc>
        <w:tc>
          <w:tcPr>
            <w:tcW w:w="1052" w:type="dxa"/>
            <w:vMerge w:val="restart"/>
            <w:vAlign w:val="center"/>
          </w:tcPr>
          <w:p>
            <w:pPr>
              <w:pStyle w:val="19"/>
              <w:rPr>
                <w:color w:val="auto"/>
              </w:rPr>
            </w:pPr>
            <w:r>
              <w:rPr>
                <w:rFonts w:hint="eastAsia"/>
                <w:color w:val="auto"/>
              </w:rPr>
              <w:t>技术要求</w:t>
            </w:r>
          </w:p>
          <w:p>
            <w:pPr>
              <w:pStyle w:val="19"/>
              <w:rPr>
                <w:color w:val="auto"/>
                <w:szCs w:val="21"/>
              </w:rPr>
            </w:pPr>
            <w:r>
              <w:rPr>
                <w:rFonts w:hint="eastAsia"/>
                <w:color w:val="auto"/>
                <w:szCs w:val="21"/>
              </w:rPr>
              <w:t>（27分）</w:t>
            </w:r>
          </w:p>
        </w:tc>
        <w:tc>
          <w:tcPr>
            <w:tcW w:w="5220" w:type="dxa"/>
            <w:vAlign w:val="center"/>
          </w:tcPr>
          <w:p>
            <w:pPr>
              <w:pStyle w:val="20"/>
              <w:jc w:val="both"/>
              <w:rPr>
                <w:color w:val="auto"/>
                <w:szCs w:val="21"/>
              </w:rPr>
            </w:pPr>
            <w:r>
              <w:rPr>
                <w:rFonts w:hint="eastAsia" w:ascii="宋体" w:hAnsi="宋体" w:cs="宋体"/>
                <w:color w:val="auto"/>
                <w:szCs w:val="21"/>
                <w:lang w:val="zh-CN"/>
              </w:rPr>
              <w:t>节能温开饮水机生产厂家质量管理体系认证证书（</w:t>
            </w:r>
            <w:r>
              <w:rPr>
                <w:rFonts w:hint="eastAsia" w:ascii="宋体" w:hAnsi="宋体" w:cs="宋体"/>
                <w:color w:val="auto"/>
                <w:szCs w:val="21"/>
              </w:rPr>
              <w:t>ISO9001;2015</w:t>
            </w:r>
            <w:r>
              <w:rPr>
                <w:rFonts w:hint="eastAsia" w:ascii="宋体" w:hAnsi="宋体" w:cs="宋体"/>
                <w:color w:val="auto"/>
                <w:szCs w:val="21"/>
                <w:lang w:val="zh-CN"/>
              </w:rPr>
              <w:t>）、环境管理体系认证证书（</w:t>
            </w:r>
            <w:r>
              <w:rPr>
                <w:rFonts w:hint="eastAsia" w:ascii="宋体" w:hAnsi="宋体" w:cs="宋体"/>
                <w:color w:val="auto"/>
                <w:szCs w:val="21"/>
              </w:rPr>
              <w:t>ISO14001:2015</w:t>
            </w:r>
            <w:r>
              <w:rPr>
                <w:rFonts w:hint="eastAsia" w:ascii="宋体" w:hAnsi="宋体" w:cs="宋体"/>
                <w:color w:val="auto"/>
                <w:szCs w:val="21"/>
                <w:lang w:val="zh-CN"/>
              </w:rPr>
              <w:t>）、职业健康安全体系认证证书</w:t>
            </w:r>
            <w:r>
              <w:rPr>
                <w:rFonts w:hint="eastAsia" w:ascii="宋体" w:hAnsi="宋体" w:cs="宋体"/>
                <w:color w:val="auto"/>
                <w:szCs w:val="21"/>
              </w:rPr>
              <w:t>(OHSAS18001:2007)</w:t>
            </w:r>
            <w:r>
              <w:rPr>
                <w:rFonts w:hint="eastAsia" w:ascii="宋体" w:hAnsi="宋体" w:cs="宋体"/>
                <w:color w:val="auto"/>
                <w:szCs w:val="21"/>
                <w:lang w:val="zh-CN"/>
              </w:rPr>
              <w:t>。</w:t>
            </w:r>
            <w:r>
              <w:rPr>
                <w:rFonts w:hint="eastAsia" w:ascii="宋体" w:hAnsi="宋体" w:cs="宋体"/>
                <w:color w:val="auto"/>
                <w:szCs w:val="21"/>
              </w:rPr>
              <w:t>每提供一个得2分，</w:t>
            </w:r>
            <w:r>
              <w:rPr>
                <w:rFonts w:hint="eastAsia"/>
                <w:color w:val="auto"/>
                <w:szCs w:val="21"/>
              </w:rPr>
              <w:t>最高得6分，</w:t>
            </w:r>
            <w:r>
              <w:rPr>
                <w:rFonts w:hint="eastAsia" w:ascii="宋体" w:hAnsi="宋体" w:cs="宋体"/>
                <w:color w:val="auto"/>
                <w:szCs w:val="21"/>
              </w:rPr>
              <w:t>不提供不得分。（须提供原件备查，不提供不得分）</w:t>
            </w:r>
          </w:p>
        </w:tc>
        <w:tc>
          <w:tcPr>
            <w:tcW w:w="592" w:type="dxa"/>
            <w:vMerge w:val="restart"/>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投标产品整机型号、加热胆和热交换器具备省（或直辖市）级涉及饮用水卫生安全产品卫生许可批件的</w:t>
            </w:r>
            <w:r>
              <w:rPr>
                <w:rFonts w:hint="eastAsia" w:ascii="宋体" w:hAnsi="宋体" w:cs="宋体"/>
                <w:color w:val="auto"/>
                <w:szCs w:val="21"/>
              </w:rPr>
              <w:t>设备</w:t>
            </w:r>
            <w:r>
              <w:rPr>
                <w:rFonts w:hint="eastAsia"/>
                <w:color w:val="auto"/>
                <w:szCs w:val="21"/>
              </w:rPr>
              <w:t>，每提供一个证书得1分，最高得3分，（提供批件复印件并加盖制造商鲜章）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Style w:val="21"/>
                <w:rFonts w:hint="eastAsia" w:ascii="Times New Roman" w:hAnsi="Times New Roman" w:cs="Arial"/>
                <w:bCs/>
                <w:color w:val="auto"/>
                <w:kern w:val="2"/>
                <w:szCs w:val="21"/>
              </w:rPr>
              <w:t>投标产品工作全程零压力，具备电路板控制节能泄压安全阀技术</w:t>
            </w:r>
            <w:r>
              <w:rPr>
                <w:rFonts w:hint="eastAsia"/>
                <w:color w:val="auto"/>
                <w:szCs w:val="21"/>
              </w:rPr>
              <w:t>，提供证明资料复印件得3分，否则不得分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投标饮水设备具备水电联动阀控制技术，提供证明资料复印件得3分，否则不得分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color w:val="auto"/>
                <w:szCs w:val="21"/>
              </w:rPr>
              <w:t>采用四级反渗透过滤得1分，五级反渗透RO膜400G得3分。</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Fonts w:hint="eastAsia"/>
                <w:color w:val="auto"/>
                <w:szCs w:val="21"/>
              </w:rPr>
              <w:t>饮水设备具备节能产品认证得1分，没有不得分；（提供证书复印件并加盖制造商鲜章）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投标产品获得食品接触产品安全认证得2分，</w:t>
            </w:r>
            <w:r>
              <w:rPr>
                <w:rFonts w:hint="eastAsia"/>
                <w:color w:val="auto"/>
                <w:szCs w:val="21"/>
              </w:rPr>
              <w:t>否则不得分；（同时提供证书与检验报告复印件并加盖制造商鲜章）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投标产品的发热管、水龙头、水胆的出水水质符合生活饮用水标准要求，提供检验报告，每提供1个得1分，最高得3分</w:t>
            </w:r>
            <w:r>
              <w:rPr>
                <w:rStyle w:val="21"/>
                <w:rFonts w:hint="eastAsia"/>
                <w:bCs/>
                <w:color w:val="auto"/>
              </w:rPr>
              <w:t>（提供检验报告复印件并加盖制造商鲜章）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highlight w:val="yellow"/>
              </w:rPr>
            </w:pPr>
          </w:p>
        </w:tc>
        <w:tc>
          <w:tcPr>
            <w:tcW w:w="5220" w:type="dxa"/>
            <w:vAlign w:val="center"/>
          </w:tcPr>
          <w:p>
            <w:pPr>
              <w:pStyle w:val="20"/>
              <w:jc w:val="both"/>
              <w:rPr>
                <w:rStyle w:val="21"/>
                <w:bCs/>
                <w:color w:val="auto"/>
                <w:szCs w:val="21"/>
              </w:rPr>
            </w:pPr>
            <w:r>
              <w:rPr>
                <w:rStyle w:val="21"/>
                <w:rFonts w:hint="eastAsia"/>
                <w:bCs/>
                <w:color w:val="auto"/>
                <w:szCs w:val="21"/>
              </w:rPr>
              <w:t>投标产品必须通过节水认证，节水率≥6</w:t>
            </w:r>
            <w:r>
              <w:rPr>
                <w:rStyle w:val="21"/>
                <w:bCs/>
                <w:color w:val="auto"/>
                <w:szCs w:val="21"/>
              </w:rPr>
              <w:t>2</w:t>
            </w:r>
            <w:r>
              <w:rPr>
                <w:rStyle w:val="21"/>
                <w:rFonts w:hint="eastAsia"/>
                <w:bCs/>
                <w:color w:val="auto"/>
                <w:szCs w:val="21"/>
              </w:rPr>
              <w:t>％得1分，节水率≥69％得3分。（提供节水认证检测报告复印件</w:t>
            </w:r>
            <w:r>
              <w:rPr>
                <w:rStyle w:val="21"/>
                <w:rFonts w:hint="eastAsia"/>
                <w:bCs/>
                <w:color w:val="auto"/>
              </w:rPr>
              <w:t>并加盖制造商鲜章）</w:t>
            </w:r>
          </w:p>
        </w:tc>
        <w:tc>
          <w:tcPr>
            <w:tcW w:w="592" w:type="dxa"/>
            <w:vMerge w:val="continue"/>
            <w:vAlign w:val="center"/>
          </w:tcPr>
          <w:p>
            <w:pPr>
              <w:pStyle w:val="20"/>
              <w:jc w:val="both"/>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2" w:type="dxa"/>
            <w:vMerge w:val="continue"/>
            <w:vAlign w:val="center"/>
          </w:tcPr>
          <w:p>
            <w:pPr>
              <w:pStyle w:val="19"/>
              <w:jc w:val="left"/>
              <w:rPr>
                <w:color w:val="auto"/>
                <w:szCs w:val="21"/>
              </w:rPr>
            </w:pPr>
          </w:p>
        </w:tc>
        <w:tc>
          <w:tcPr>
            <w:tcW w:w="1086" w:type="dxa"/>
            <w:vMerge w:val="continue"/>
            <w:vAlign w:val="center"/>
          </w:tcPr>
          <w:p>
            <w:pPr>
              <w:pStyle w:val="19"/>
              <w:jc w:val="left"/>
              <w:rPr>
                <w:color w:val="auto"/>
                <w:szCs w:val="21"/>
              </w:rPr>
            </w:pPr>
          </w:p>
        </w:tc>
        <w:tc>
          <w:tcPr>
            <w:tcW w:w="1052" w:type="dxa"/>
            <w:vAlign w:val="center"/>
          </w:tcPr>
          <w:p>
            <w:pPr>
              <w:pStyle w:val="19"/>
              <w:rPr>
                <w:color w:val="auto"/>
                <w:szCs w:val="21"/>
              </w:rPr>
            </w:pPr>
            <w:r>
              <w:rPr>
                <w:rFonts w:hint="eastAsia"/>
                <w:color w:val="auto"/>
                <w:szCs w:val="21"/>
              </w:rPr>
              <w:t>运营服务方案（10分）</w:t>
            </w:r>
          </w:p>
        </w:tc>
        <w:tc>
          <w:tcPr>
            <w:tcW w:w="5220" w:type="dxa"/>
            <w:vAlign w:val="center"/>
          </w:tcPr>
          <w:p>
            <w:pPr>
              <w:pStyle w:val="19"/>
              <w:jc w:val="left"/>
              <w:rPr>
                <w:color w:val="auto"/>
                <w:szCs w:val="21"/>
              </w:rPr>
            </w:pPr>
            <w:r>
              <w:rPr>
                <w:rFonts w:hint="eastAsia"/>
                <w:color w:val="auto"/>
                <w:szCs w:val="21"/>
              </w:rPr>
              <w:t>后期服务方案详细，要有专业团队做售后设备维护工作，有针对性，包括设备维护保养（饮水区域清扫、设备清洁、设备消毒、设备巡检等）、故障处理措施、纠纷处理程序或办法、故障响应时间、到达现场时间及故障排除完毕所需时间等。</w:t>
            </w:r>
          </w:p>
          <w:p>
            <w:pPr>
              <w:pStyle w:val="19"/>
              <w:jc w:val="left"/>
              <w:rPr>
                <w:color w:val="auto"/>
                <w:szCs w:val="21"/>
              </w:rPr>
            </w:pPr>
            <w:r>
              <w:rPr>
                <w:rFonts w:hint="eastAsia"/>
                <w:color w:val="auto"/>
                <w:szCs w:val="21"/>
              </w:rPr>
              <w:t>优秀得7分-10分，良好得4分-6分，一般得1分-3分，较差或没有不得分。</w:t>
            </w:r>
          </w:p>
        </w:tc>
        <w:tc>
          <w:tcPr>
            <w:tcW w:w="592" w:type="dxa"/>
            <w:vMerge w:val="restart"/>
            <w:vAlign w:val="center"/>
          </w:tcPr>
          <w:p>
            <w:pPr>
              <w:pStyle w:val="19"/>
              <w:jc w:val="left"/>
              <w:rPr>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572" w:type="dxa"/>
            <w:vMerge w:val="continue"/>
            <w:vAlign w:val="center"/>
          </w:tcPr>
          <w:p>
            <w:pPr>
              <w:pStyle w:val="19"/>
              <w:jc w:val="left"/>
              <w:rPr>
                <w:color w:val="auto"/>
                <w:szCs w:val="21"/>
              </w:rPr>
            </w:pPr>
          </w:p>
        </w:tc>
        <w:tc>
          <w:tcPr>
            <w:tcW w:w="1086" w:type="dxa"/>
            <w:vMerge w:val="continue"/>
            <w:vAlign w:val="center"/>
          </w:tcPr>
          <w:p>
            <w:pPr>
              <w:pStyle w:val="19"/>
              <w:jc w:val="left"/>
              <w:rPr>
                <w:color w:val="auto"/>
                <w:szCs w:val="21"/>
              </w:rPr>
            </w:pPr>
          </w:p>
        </w:tc>
        <w:tc>
          <w:tcPr>
            <w:tcW w:w="1052" w:type="dxa"/>
            <w:vAlign w:val="center"/>
          </w:tcPr>
          <w:p>
            <w:pPr>
              <w:pStyle w:val="19"/>
              <w:rPr>
                <w:color w:val="auto"/>
                <w:szCs w:val="21"/>
              </w:rPr>
            </w:pPr>
            <w:r>
              <w:rPr>
                <w:rFonts w:hint="eastAsia" w:ascii="宋体" w:hAnsi="宋体" w:cs="宋体"/>
                <w:color w:val="auto"/>
                <w:szCs w:val="21"/>
              </w:rPr>
              <w:t>应急处理方案及事故响应处理方案（7分）</w:t>
            </w:r>
          </w:p>
        </w:tc>
        <w:tc>
          <w:tcPr>
            <w:tcW w:w="5220" w:type="dxa"/>
            <w:vAlign w:val="center"/>
          </w:tcPr>
          <w:p>
            <w:pPr>
              <w:rPr>
                <w:rFonts w:ascii="Times New Roman" w:hAnsi="Times New Roman" w:eastAsia="宋体"/>
                <w:color w:val="auto"/>
                <w:sz w:val="21"/>
                <w:szCs w:val="21"/>
              </w:rPr>
            </w:pPr>
            <w:r>
              <w:rPr>
                <w:rFonts w:hint="eastAsia" w:ascii="宋体" w:hAnsi="宋体" w:cs="宋体"/>
                <w:color w:val="auto"/>
                <w:szCs w:val="21"/>
              </w:rPr>
              <w:t>1</w:t>
            </w:r>
            <w:r>
              <w:rPr>
                <w:rFonts w:hint="eastAsia" w:ascii="Times New Roman" w:hAnsi="Times New Roman" w:eastAsia="宋体"/>
                <w:color w:val="auto"/>
                <w:sz w:val="21"/>
                <w:szCs w:val="21"/>
              </w:rPr>
              <w:t>.应急处理方案有合理明确的各种应对措施，并承诺合理的响应时间及解决时间，且有明确的不达标处罚措施得5-7分；</w:t>
            </w:r>
          </w:p>
          <w:p>
            <w:pPr>
              <w:rPr>
                <w:rFonts w:ascii="Times New Roman" w:hAnsi="Times New Roman" w:eastAsia="宋体"/>
                <w:color w:val="auto"/>
                <w:sz w:val="21"/>
                <w:szCs w:val="21"/>
              </w:rPr>
            </w:pPr>
            <w:r>
              <w:rPr>
                <w:rFonts w:hint="eastAsia" w:ascii="Times New Roman" w:hAnsi="Times New Roman" w:eastAsia="宋体"/>
                <w:color w:val="auto"/>
                <w:sz w:val="21"/>
                <w:szCs w:val="21"/>
              </w:rPr>
              <w:t>2.应急处理方案有较为合理明确的各种应对措施，并承诺较为合理的响应时间及解决时间，且有较为合理的不达标处罚措施得3-4分；</w:t>
            </w:r>
          </w:p>
          <w:p>
            <w:pPr>
              <w:pStyle w:val="19"/>
              <w:jc w:val="left"/>
              <w:rPr>
                <w:color w:val="auto"/>
                <w:szCs w:val="21"/>
              </w:rPr>
            </w:pPr>
            <w:r>
              <w:rPr>
                <w:rFonts w:hint="eastAsia"/>
                <w:color w:val="auto"/>
                <w:szCs w:val="21"/>
              </w:rPr>
              <w:t>3.应急处理方案有基本合理的应对措施，有基本合理的响应时间及解决时间，且有基本的处罚措施得0-2分。</w:t>
            </w:r>
          </w:p>
        </w:tc>
        <w:tc>
          <w:tcPr>
            <w:tcW w:w="592" w:type="dxa"/>
            <w:vMerge w:val="continue"/>
            <w:vAlign w:val="center"/>
          </w:tcPr>
          <w:p>
            <w:pPr>
              <w:pStyle w:val="19"/>
              <w:jc w:val="left"/>
              <w:rPr>
                <w:color w:val="auto"/>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72" w:type="dxa"/>
            <w:vMerge w:val="continue"/>
            <w:vAlign w:val="center"/>
          </w:tcPr>
          <w:p>
            <w:pPr>
              <w:pStyle w:val="19"/>
              <w:rPr>
                <w:color w:val="auto"/>
              </w:rPr>
            </w:pPr>
          </w:p>
        </w:tc>
        <w:tc>
          <w:tcPr>
            <w:tcW w:w="1086" w:type="dxa"/>
            <w:vMerge w:val="continue"/>
            <w:vAlign w:val="center"/>
          </w:tcPr>
          <w:p>
            <w:pPr>
              <w:pStyle w:val="19"/>
              <w:rPr>
                <w:color w:val="auto"/>
              </w:rPr>
            </w:pPr>
          </w:p>
        </w:tc>
        <w:tc>
          <w:tcPr>
            <w:tcW w:w="1052" w:type="dxa"/>
            <w:vAlign w:val="center"/>
          </w:tcPr>
          <w:p>
            <w:pPr>
              <w:pStyle w:val="19"/>
              <w:rPr>
                <w:color w:val="auto"/>
                <w:szCs w:val="21"/>
              </w:rPr>
            </w:pPr>
            <w:r>
              <w:rPr>
                <w:rFonts w:hint="eastAsia" w:ascii="宋体" w:hAnsi="宋体" w:cs="宋体"/>
                <w:color w:val="auto"/>
                <w:szCs w:val="21"/>
              </w:rPr>
              <w:t>入围国家节能政府采购清单（2分）</w:t>
            </w:r>
          </w:p>
        </w:tc>
        <w:tc>
          <w:tcPr>
            <w:tcW w:w="5220" w:type="dxa"/>
            <w:vAlign w:val="center"/>
          </w:tcPr>
          <w:p>
            <w:pPr>
              <w:pStyle w:val="19"/>
              <w:jc w:val="both"/>
              <w:rPr>
                <w:color w:val="auto"/>
                <w:szCs w:val="21"/>
              </w:rPr>
            </w:pPr>
            <w:r>
              <w:rPr>
                <w:rFonts w:hint="eastAsia" w:ascii="宋体" w:hAnsi="宋体" w:cs="宋体"/>
                <w:color w:val="auto"/>
                <w:szCs w:val="21"/>
              </w:rPr>
              <w:t>投标产品属于节能产品的，连续入围7期（18期、19期、20期、21期、22期、23期、24期）国家最新节能政府采购清单得2分，其他不得分。（注：节能产品根据财政部、国家发展改革委公布的《节能产品政府采购清单》确定。</w:t>
            </w:r>
          </w:p>
        </w:tc>
        <w:tc>
          <w:tcPr>
            <w:tcW w:w="592" w:type="dxa"/>
            <w:vMerge w:val="continue"/>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restart"/>
            <w:vAlign w:val="center"/>
          </w:tcPr>
          <w:p>
            <w:pPr>
              <w:pStyle w:val="19"/>
              <w:rPr>
                <w:color w:val="auto"/>
                <w:szCs w:val="21"/>
              </w:rPr>
            </w:pPr>
            <w:r>
              <w:rPr>
                <w:rFonts w:hint="eastAsia"/>
                <w:color w:val="auto"/>
                <w:szCs w:val="21"/>
              </w:rPr>
              <w:t>3</w:t>
            </w:r>
          </w:p>
        </w:tc>
        <w:tc>
          <w:tcPr>
            <w:tcW w:w="1086" w:type="dxa"/>
            <w:vMerge w:val="restart"/>
            <w:vAlign w:val="center"/>
          </w:tcPr>
          <w:p>
            <w:pPr>
              <w:pStyle w:val="19"/>
              <w:rPr>
                <w:color w:val="auto"/>
                <w:szCs w:val="21"/>
              </w:rPr>
            </w:pPr>
            <w:r>
              <w:rPr>
                <w:rFonts w:hint="eastAsia"/>
                <w:color w:val="auto"/>
                <w:szCs w:val="21"/>
              </w:rPr>
              <w:t>商务部分</w:t>
            </w:r>
          </w:p>
          <w:p>
            <w:pPr>
              <w:pStyle w:val="19"/>
              <w:rPr>
                <w:color w:val="auto"/>
                <w:szCs w:val="21"/>
              </w:rPr>
            </w:pPr>
            <w:r>
              <w:rPr>
                <w:rFonts w:hint="eastAsia"/>
                <w:color w:val="auto"/>
                <w:szCs w:val="21"/>
              </w:rPr>
              <w:t>（</w:t>
            </w:r>
            <w:r>
              <w:rPr>
                <w:color w:val="auto"/>
                <w:szCs w:val="21"/>
              </w:rPr>
              <w:t>1</w:t>
            </w:r>
            <w:r>
              <w:rPr>
                <w:rFonts w:hint="eastAsia"/>
                <w:color w:val="auto"/>
                <w:szCs w:val="21"/>
              </w:rPr>
              <w:t>4</w:t>
            </w:r>
            <w:r>
              <w:rPr>
                <w:color w:val="auto"/>
                <w:szCs w:val="21"/>
              </w:rPr>
              <w:t>%</w:t>
            </w:r>
            <w:r>
              <w:rPr>
                <w:rFonts w:hint="eastAsia"/>
                <w:color w:val="auto"/>
                <w:szCs w:val="21"/>
              </w:rPr>
              <w:t>）</w:t>
            </w:r>
          </w:p>
        </w:tc>
        <w:tc>
          <w:tcPr>
            <w:tcW w:w="1052" w:type="dxa"/>
            <w:vMerge w:val="restart"/>
            <w:vAlign w:val="center"/>
          </w:tcPr>
          <w:p>
            <w:pPr>
              <w:pStyle w:val="19"/>
              <w:rPr>
                <w:color w:val="auto"/>
                <w:szCs w:val="21"/>
              </w:rPr>
            </w:pPr>
            <w:r>
              <w:rPr>
                <w:rFonts w:hint="eastAsia"/>
                <w:color w:val="auto"/>
                <w:szCs w:val="21"/>
              </w:rPr>
              <w:t>制造商综合实力</w:t>
            </w:r>
          </w:p>
          <w:p>
            <w:pPr>
              <w:pStyle w:val="19"/>
              <w:rPr>
                <w:color w:val="auto"/>
                <w:szCs w:val="21"/>
              </w:rPr>
            </w:pPr>
            <w:r>
              <w:rPr>
                <w:rFonts w:hint="eastAsia"/>
                <w:color w:val="auto"/>
                <w:szCs w:val="21"/>
              </w:rPr>
              <w:t>（14分）</w:t>
            </w:r>
          </w:p>
        </w:tc>
        <w:tc>
          <w:tcPr>
            <w:tcW w:w="5220" w:type="dxa"/>
            <w:vAlign w:val="center"/>
          </w:tcPr>
          <w:p>
            <w:pPr>
              <w:pStyle w:val="20"/>
              <w:jc w:val="both"/>
              <w:rPr>
                <w:color w:val="auto"/>
                <w:szCs w:val="21"/>
              </w:rPr>
            </w:pPr>
            <w:r>
              <w:rPr>
                <w:rFonts w:hint="eastAsia"/>
                <w:color w:val="auto"/>
                <w:szCs w:val="21"/>
              </w:rPr>
              <w:t>制造商具</w:t>
            </w:r>
            <w:r>
              <w:rPr>
                <w:rFonts w:hint="eastAsia"/>
                <w:color w:val="auto"/>
                <w:szCs w:val="21"/>
                <w:lang w:eastAsia="zh-CN"/>
              </w:rPr>
              <w:t>有</w:t>
            </w:r>
            <w:r>
              <w:rPr>
                <w:rFonts w:hint="eastAsia"/>
                <w:color w:val="auto"/>
                <w:szCs w:val="21"/>
              </w:rPr>
              <w:t>为其产品购买产品责任保险的得4分，否则不得分；（提供复印件并加盖制造商鲜章）</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ascii="宋体" w:hAnsi="宋体" w:cs="宋体"/>
                <w:color w:val="auto"/>
                <w:szCs w:val="21"/>
              </w:rPr>
              <w:t>供应商所投饮水机产品生产厂商具有有效期内的第三方信用评价机构出具的企业信用等级证书，AAA级的得5分，AA级的得2分，其他等级不得分。注：协会证书本次招标不具有评标范围之内。（须提供原件备查，不提供不得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vMerge w:val="continue"/>
            <w:vAlign w:val="center"/>
          </w:tcPr>
          <w:p>
            <w:pPr>
              <w:pStyle w:val="19"/>
              <w:rPr>
                <w:color w:val="auto"/>
                <w:szCs w:val="21"/>
              </w:rPr>
            </w:pPr>
          </w:p>
        </w:tc>
        <w:tc>
          <w:tcPr>
            <w:tcW w:w="1086" w:type="dxa"/>
            <w:vMerge w:val="continue"/>
            <w:vAlign w:val="center"/>
          </w:tcPr>
          <w:p>
            <w:pPr>
              <w:pStyle w:val="19"/>
              <w:rPr>
                <w:color w:val="auto"/>
                <w:szCs w:val="21"/>
              </w:rPr>
            </w:pPr>
          </w:p>
        </w:tc>
        <w:tc>
          <w:tcPr>
            <w:tcW w:w="1052" w:type="dxa"/>
            <w:vMerge w:val="continue"/>
            <w:vAlign w:val="center"/>
          </w:tcPr>
          <w:p>
            <w:pPr>
              <w:pStyle w:val="19"/>
              <w:rPr>
                <w:color w:val="auto"/>
                <w:szCs w:val="21"/>
              </w:rPr>
            </w:pPr>
          </w:p>
        </w:tc>
        <w:tc>
          <w:tcPr>
            <w:tcW w:w="5220" w:type="dxa"/>
            <w:vAlign w:val="center"/>
          </w:tcPr>
          <w:p>
            <w:pPr>
              <w:pStyle w:val="20"/>
              <w:jc w:val="both"/>
              <w:rPr>
                <w:color w:val="auto"/>
                <w:szCs w:val="21"/>
              </w:rPr>
            </w:pPr>
            <w:r>
              <w:rPr>
                <w:rFonts w:hint="eastAsia" w:ascii="宋体" w:hAnsi="宋体" w:cs="宋体"/>
                <w:color w:val="auto"/>
                <w:szCs w:val="21"/>
              </w:rPr>
              <w:t>所投饮水机</w:t>
            </w:r>
            <w:r>
              <w:rPr>
                <w:rFonts w:hint="eastAsia"/>
                <w:color w:val="auto"/>
                <w:szCs w:val="21"/>
              </w:rPr>
              <w:t>制造商</w:t>
            </w:r>
            <w:r>
              <w:rPr>
                <w:rFonts w:hint="eastAsia" w:ascii="宋体" w:hAnsi="宋体" w:cs="宋体"/>
                <w:color w:val="auto"/>
                <w:szCs w:val="21"/>
              </w:rPr>
              <w:t>具有高新技术企业证书的，得5分。</w:t>
            </w:r>
          </w:p>
        </w:tc>
        <w:tc>
          <w:tcPr>
            <w:tcW w:w="592" w:type="dxa"/>
            <w:vAlign w:val="center"/>
          </w:tcPr>
          <w:p>
            <w:pPr>
              <w:pStyle w:val="19"/>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center"/>
          </w:tcPr>
          <w:p>
            <w:pPr>
              <w:pStyle w:val="19"/>
              <w:rPr>
                <w:color w:val="auto"/>
                <w:szCs w:val="21"/>
              </w:rPr>
            </w:pPr>
            <w:r>
              <w:rPr>
                <w:rFonts w:hint="eastAsia"/>
                <w:color w:val="auto"/>
                <w:szCs w:val="21"/>
              </w:rPr>
              <w:t>若发现投标提供虚假材料的取消中标资格，并保留追究相应法律责任的权力</w:t>
            </w:r>
          </w:p>
        </w:tc>
      </w:tr>
    </w:tbl>
    <w:p>
      <w:pPr>
        <w:pStyle w:val="22"/>
        <w:rPr>
          <w:color w:val="auto"/>
        </w:rPr>
      </w:pPr>
    </w:p>
    <w:p>
      <w:pPr>
        <w:pStyle w:val="2"/>
        <w:rPr>
          <w:color w:val="auto"/>
        </w:rPr>
      </w:pPr>
      <w:r>
        <w:rPr>
          <w:color w:val="auto"/>
        </w:rPr>
        <w:br w:type="page"/>
      </w:r>
    </w:p>
    <w:p>
      <w:pPr>
        <w:pStyle w:val="22"/>
        <w:rPr>
          <w:color w:val="auto"/>
        </w:rPr>
      </w:pPr>
      <w:r>
        <w:rPr>
          <w:rFonts w:hint="eastAsia"/>
          <w:color w:val="auto"/>
        </w:rPr>
        <w:t>附表：</w:t>
      </w:r>
    </w:p>
    <w:p>
      <w:pPr>
        <w:adjustRightInd/>
        <w:snapToGrid/>
        <w:spacing w:line="420" w:lineRule="exact"/>
        <w:jc w:val="center"/>
        <w:rPr>
          <w:rFonts w:ascii="黑体" w:hAnsi="黑体" w:eastAsia="黑体" w:cs="黑体"/>
          <w:b/>
          <w:color w:val="auto"/>
          <w:sz w:val="32"/>
          <w:szCs w:val="32"/>
        </w:rPr>
      </w:pPr>
      <w:r>
        <w:rPr>
          <w:rFonts w:hint="eastAsia" w:ascii="黑体" w:hAnsi="黑体" w:eastAsia="黑体" w:cs="黑体"/>
          <w:b/>
          <w:color w:val="auto"/>
          <w:sz w:val="32"/>
          <w:szCs w:val="32"/>
        </w:rPr>
        <w:t>东、西区学生公寓装机数量</w:t>
      </w:r>
    </w:p>
    <w:tbl>
      <w:tblPr>
        <w:tblStyle w:val="12"/>
        <w:tblW w:w="7386" w:type="dxa"/>
        <w:tblInd w:w="0" w:type="dxa"/>
        <w:tblLayout w:type="fixed"/>
        <w:tblCellMar>
          <w:top w:w="0" w:type="dxa"/>
          <w:left w:w="0" w:type="dxa"/>
          <w:bottom w:w="0" w:type="dxa"/>
          <w:right w:w="0" w:type="dxa"/>
        </w:tblCellMar>
      </w:tblPr>
      <w:tblGrid>
        <w:gridCol w:w="1531"/>
        <w:gridCol w:w="1745"/>
        <w:gridCol w:w="4110"/>
      </w:tblGrid>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幢别</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楼层数</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拟装机</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桃园六</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桃园七</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兰园三A</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兰园三B</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6</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兰园六</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新建七、八</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7</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18</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西一</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西二</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西三</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西四</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2</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西五</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6</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3</w:t>
            </w:r>
          </w:p>
        </w:tc>
      </w:tr>
      <w:tr>
        <w:tblPrEx>
          <w:tblCellMar>
            <w:top w:w="0" w:type="dxa"/>
            <w:left w:w="0" w:type="dxa"/>
            <w:bottom w:w="0" w:type="dxa"/>
            <w:right w:w="0" w:type="dxa"/>
          </w:tblCellMar>
        </w:tblPrEx>
        <w:trPr>
          <w:trHeight w:val="600"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r>
              <w:rPr>
                <w:rFonts w:hint="eastAsia" w:ascii="宋体" w:hAnsi="宋体" w:eastAsia="宋体" w:cs="宋体"/>
                <w:color w:val="auto"/>
              </w:rPr>
              <w:t>合计</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rPr>
            </w:pP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122</w:t>
            </w:r>
          </w:p>
        </w:tc>
      </w:tr>
    </w:tbl>
    <w:p>
      <w:pPr>
        <w:rPr>
          <w:rFonts w:ascii="仿宋" w:hAnsi="仿宋" w:eastAsia="仿宋" w:cs="仿宋"/>
          <w:color w:val="auto"/>
          <w:sz w:val="32"/>
          <w:szCs w:val="32"/>
        </w:rPr>
      </w:pPr>
    </w:p>
    <w:tbl>
      <w:tblPr>
        <w:tblStyle w:val="12"/>
        <w:tblW w:w="7387" w:type="dxa"/>
        <w:tblInd w:w="0" w:type="dxa"/>
        <w:tblLayout w:type="autofit"/>
        <w:tblCellMar>
          <w:top w:w="0" w:type="dxa"/>
          <w:left w:w="0" w:type="dxa"/>
          <w:bottom w:w="0" w:type="dxa"/>
          <w:right w:w="0" w:type="dxa"/>
        </w:tblCellMar>
      </w:tblPr>
      <w:tblGrid>
        <w:gridCol w:w="603"/>
        <w:gridCol w:w="1984"/>
        <w:gridCol w:w="603"/>
        <w:gridCol w:w="603"/>
        <w:gridCol w:w="3594"/>
      </w:tblGrid>
      <w:tr>
        <w:tblPrEx>
          <w:tblCellMar>
            <w:top w:w="0" w:type="dxa"/>
            <w:left w:w="0" w:type="dxa"/>
            <w:bottom w:w="0" w:type="dxa"/>
            <w:right w:w="0" w:type="dxa"/>
          </w:tblCellMar>
        </w:tblPrEx>
        <w:trPr>
          <w:trHeight w:val="860" w:hRule="atLeast"/>
        </w:trPr>
        <w:tc>
          <w:tcPr>
            <w:tcW w:w="738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snapToGrid/>
              <w:spacing w:line="420" w:lineRule="exact"/>
              <w:jc w:val="center"/>
              <w:rPr>
                <w:rFonts w:ascii="宋体" w:hAnsi="宋体" w:eastAsia="宋体" w:cs="宋体"/>
                <w:b/>
                <w:color w:val="auto"/>
                <w:sz w:val="44"/>
                <w:szCs w:val="44"/>
              </w:rPr>
            </w:pPr>
            <w:r>
              <w:rPr>
                <w:rFonts w:hint="eastAsia" w:ascii="黑体" w:hAnsi="黑体" w:eastAsia="黑体" w:cs="黑体"/>
                <w:b/>
                <w:color w:val="auto"/>
                <w:sz w:val="32"/>
                <w:szCs w:val="32"/>
              </w:rPr>
              <w:t>东校区教学场所装机数量</w:t>
            </w:r>
          </w:p>
        </w:tc>
      </w:tr>
      <w:tr>
        <w:tblPrEx>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数目</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备注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琴房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18"/>
                <w:szCs w:val="18"/>
              </w:rPr>
              <w:t>一楼已安装1台，在三楼增加1台</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知行楼3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博学楼3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厚德楼3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综合实训楼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大学生活动中心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格物楼BA-BB之间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格物楼BB-BC之间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物电楼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文科楼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育师楼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文科实训中心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兵羽球馆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风雨球馆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28</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7387" w:type="dxa"/>
            <w:gridSpan w:val="5"/>
            <w:tcBorders>
              <w:top w:val="single" w:color="000000" w:sz="4" w:space="0"/>
              <w:left w:val="single" w:color="000000" w:sz="4" w:space="0"/>
              <w:bottom w:val="nil"/>
              <w:right w:val="single" w:color="auto" w:sz="4" w:space="0"/>
            </w:tcBorders>
            <w:shd w:val="clear" w:color="auto" w:fill="auto"/>
            <w:noWrap/>
            <w:tcMar>
              <w:top w:w="15" w:type="dxa"/>
              <w:left w:w="15" w:type="dxa"/>
              <w:right w:w="15" w:type="dxa"/>
            </w:tcMar>
            <w:vAlign w:val="center"/>
          </w:tcPr>
          <w:p>
            <w:pPr>
              <w:adjustRightInd/>
              <w:snapToGrid/>
              <w:spacing w:line="420" w:lineRule="exact"/>
              <w:jc w:val="center"/>
              <w:rPr>
                <w:color w:val="auto"/>
              </w:rPr>
            </w:pPr>
            <w:r>
              <w:rPr>
                <w:rFonts w:hint="eastAsia" w:ascii="黑体" w:hAnsi="黑体" w:eastAsia="黑体" w:cs="黑体"/>
                <w:b/>
                <w:color w:val="auto"/>
                <w:sz w:val="32"/>
                <w:szCs w:val="32"/>
              </w:rPr>
              <w:t>西校区教学场所装机数量</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数目</w:t>
            </w:r>
          </w:p>
        </w:tc>
        <w:tc>
          <w:tcPr>
            <w:tcW w:w="3533"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b/>
                <w:color w:val="auto"/>
                <w:sz w:val="28"/>
                <w:szCs w:val="28"/>
              </w:rPr>
            </w:pPr>
            <w:r>
              <w:rPr>
                <w:rFonts w:hint="eastAsia" w:ascii="宋体" w:hAnsi="宋体" w:eastAsia="宋体" w:cs="宋体"/>
                <w:b/>
                <w:color w:val="auto"/>
                <w:sz w:val="28"/>
                <w:szCs w:val="28"/>
              </w:rPr>
              <w:t>备注</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2号教学楼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汇总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nil"/>
              <w:left w:val="nil"/>
              <w:bottom w:val="single" w:color="auto" w:sz="4" w:space="0"/>
              <w:right w:val="nil"/>
            </w:tcBorders>
            <w:shd w:val="clear" w:color="auto" w:fill="auto"/>
            <w:noWrap/>
            <w:tcMar>
              <w:top w:w="15" w:type="dxa"/>
              <w:left w:w="15" w:type="dxa"/>
              <w:right w:w="15" w:type="dxa"/>
            </w:tcMar>
            <w:vAlign w:val="center"/>
          </w:tcPr>
          <w:p>
            <w:pPr>
              <w:jc w:val="center"/>
              <w:rPr>
                <w:rFonts w:ascii="宋体" w:hAnsi="宋体" w:eastAsia="宋体" w:cs="宋体"/>
                <w:color w:val="auto"/>
              </w:rPr>
            </w:pPr>
            <w:r>
              <w:rPr>
                <w:rFonts w:hint="eastAsia" w:ascii="宋体" w:hAnsi="宋体" w:eastAsia="宋体" w:cs="宋体"/>
                <w:color w:val="auto"/>
              </w:rPr>
              <w:t>东、西区合计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color w:val="auto"/>
                <w:sz w:val="24"/>
                <w:szCs w:val="24"/>
              </w:rPr>
            </w:pPr>
            <w:r>
              <w:rPr>
                <w:rFonts w:hint="eastAsia" w:ascii="宋体" w:hAnsi="宋体" w:eastAsia="宋体" w:cs="宋体"/>
                <w:color w:val="auto"/>
                <w:sz w:val="24"/>
                <w:szCs w:val="24"/>
              </w:rPr>
              <w:t>31</w:t>
            </w:r>
          </w:p>
        </w:tc>
        <w:tc>
          <w:tcPr>
            <w:tcW w:w="3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auto"/>
                <w:sz w:val="24"/>
                <w:szCs w:val="24"/>
              </w:rPr>
            </w:pPr>
          </w:p>
        </w:tc>
      </w:tr>
    </w:tbl>
    <w:p>
      <w:pPr>
        <w:rPr>
          <w:rFonts w:ascii="仿宋" w:hAnsi="仿宋" w:eastAsia="仿宋" w:cs="仿宋"/>
          <w:color w:val="auto"/>
          <w:sz w:val="32"/>
          <w:szCs w:val="32"/>
        </w:rPr>
      </w:pPr>
    </w:p>
    <w:p>
      <w:pPr>
        <w:pStyle w:val="2"/>
        <w:rPr>
          <w:color w:val="auto"/>
        </w:rPr>
      </w:pPr>
      <w:r>
        <w:rPr>
          <w:color w:val="auto"/>
        </w:rPr>
        <w:br w:type="page"/>
      </w:r>
    </w:p>
    <w:p>
      <w:pPr>
        <w:spacing w:line="400" w:lineRule="exact"/>
        <w:jc w:val="center"/>
        <w:rPr>
          <w:rFonts w:cs="仿宋" w:asciiTheme="majorEastAsia" w:hAnsiTheme="majorEastAsia" w:eastAsiaTheme="majorEastAsia"/>
          <w:b/>
          <w:color w:val="auto"/>
          <w:sz w:val="44"/>
          <w:szCs w:val="44"/>
        </w:rPr>
      </w:pPr>
    </w:p>
    <w:p>
      <w:pPr>
        <w:spacing w:line="400" w:lineRule="exact"/>
        <w:jc w:val="center"/>
        <w:rPr>
          <w:rFonts w:cs="仿宋" w:asciiTheme="majorEastAsia" w:hAnsiTheme="majorEastAsia" w:eastAsiaTheme="majorEastAsia"/>
          <w:b/>
          <w:color w:val="auto"/>
          <w:sz w:val="44"/>
          <w:szCs w:val="44"/>
        </w:rPr>
      </w:pPr>
      <w:r>
        <w:rPr>
          <w:rFonts w:hint="eastAsia" w:cs="仿宋" w:asciiTheme="majorEastAsia" w:hAnsiTheme="majorEastAsia" w:eastAsiaTheme="majorEastAsia"/>
          <w:b/>
          <w:color w:val="auto"/>
          <w:sz w:val="44"/>
          <w:szCs w:val="44"/>
        </w:rPr>
        <w:t>玉林师范学院校园饮水系统投资合同</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 xml:space="preserve">甲方（校方）：玉林师范学院 </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乙方（投资方）：</w:t>
      </w:r>
    </w:p>
    <w:p>
      <w:pPr>
        <w:spacing w:line="52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为了更方便地服务于甲方在校学生，为学生提供更优质、更实惠、更便利的后勤保障服务，有效解决甲方东、西校区学生的饮水问题，经过双方协商，由乙方为甲方在校园投资建设校园饮水系统项目（东区明德楼、至善楼、知行楼正在运营的22台不在本合同内），学生自主、自愿、自助取水。本着双方互惠互利的原则，经甲、乙双方友好协商后达成以下协议：</w:t>
      </w:r>
    </w:p>
    <w:p>
      <w:pPr>
        <w:spacing w:line="520" w:lineRule="exact"/>
        <w:ind w:firstLine="640" w:firstLineChars="200"/>
        <w:rPr>
          <w:rFonts w:ascii="仿宋" w:hAnsi="仿宋" w:eastAsia="仿宋" w:cs="仿宋"/>
          <w:bCs/>
          <w:color w:val="auto"/>
          <w:sz w:val="32"/>
          <w:szCs w:val="32"/>
        </w:rPr>
      </w:pPr>
      <w:r>
        <w:rPr>
          <w:rFonts w:hint="eastAsia" w:ascii="仿宋" w:hAnsi="仿宋" w:eastAsia="仿宋" w:cs="仿宋"/>
          <w:bCs/>
          <w:color w:val="auto"/>
          <w:sz w:val="32"/>
          <w:szCs w:val="32"/>
        </w:rPr>
        <w:t>乙方服务期限为 年，自</w:t>
      </w:r>
      <w:r>
        <w:rPr>
          <w:rFonts w:hint="eastAsia" w:ascii="仿宋" w:hAnsi="仿宋" w:eastAsia="仿宋" w:cs="仿宋"/>
          <w:bCs/>
          <w:color w:val="auto"/>
          <w:sz w:val="32"/>
          <w:szCs w:val="32"/>
          <w:u w:val="single"/>
        </w:rPr>
        <w:t xml:space="preserve"> 2020 </w:t>
      </w:r>
      <w:r>
        <w:rPr>
          <w:rFonts w:hint="eastAsia" w:ascii="仿宋" w:hAnsi="仿宋" w:eastAsia="仿宋" w:cs="仿宋"/>
          <w:bCs/>
          <w:color w:val="auto"/>
          <w:sz w:val="32"/>
          <w:szCs w:val="32"/>
        </w:rPr>
        <w:t>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月</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日起至</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年</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月</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日。</w:t>
      </w:r>
    </w:p>
    <w:p>
      <w:pPr>
        <w:spacing w:line="216" w:lineRule="auto"/>
        <w:rPr>
          <w:rFonts w:ascii="仿宋" w:hAnsi="仿宋" w:eastAsia="仿宋" w:cs="仿宋"/>
          <w:b/>
          <w:bCs/>
          <w:color w:val="auto"/>
          <w:sz w:val="32"/>
          <w:szCs w:val="32"/>
        </w:rPr>
      </w:pPr>
      <w:r>
        <w:rPr>
          <w:rFonts w:hint="eastAsia" w:ascii="仿宋" w:hAnsi="仿宋" w:eastAsia="仿宋" w:cs="仿宋"/>
          <w:b/>
          <w:bCs/>
          <w:color w:val="auto"/>
          <w:sz w:val="32"/>
          <w:szCs w:val="32"/>
        </w:rPr>
        <w:t>一、甲方的责任、义务和权利</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1.甲方负责为乙方提供安装校园饮水设备及相关业务办理的场所。在合同期内，甲方在校内安排一间不小于15平方的维修场所，用于存放配件等维修维护工具，便于更好服务饮水系统，维修场所的水电费由乙方按甲方规定支付。</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2.甲方负责提供校园内工程协调与施工方便，提供水电接入点，以保证工程如期完成。</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3.甲方负责加强对学生爱护公共财物的教育，对故意损坏设施者进行处罚和追究责任。</w:t>
      </w:r>
    </w:p>
    <w:p>
      <w:pPr>
        <w:spacing w:line="216" w:lineRule="auto"/>
        <w:rPr>
          <w:rFonts w:ascii="仿宋" w:hAnsi="仿宋" w:eastAsia="仿宋" w:cs="仿宋"/>
          <w:b/>
          <w:bCs/>
          <w:color w:val="auto"/>
          <w:sz w:val="32"/>
          <w:szCs w:val="32"/>
        </w:rPr>
      </w:pPr>
      <w:r>
        <w:rPr>
          <w:rFonts w:hint="eastAsia" w:ascii="仿宋" w:hAnsi="仿宋" w:eastAsia="仿宋" w:cs="仿宋"/>
          <w:b/>
          <w:bCs/>
          <w:color w:val="auto"/>
          <w:sz w:val="32"/>
          <w:szCs w:val="32"/>
        </w:rPr>
        <w:t>二、乙方的责任、义务和权利</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1.乙方负责投资安装不少于台直饮水机及全部配套设备和设施，根据实际情况，分批安装。安装方案需经甲方审核通过后方可实施，安装施工时要遵守甲方规章制度。合同期满后乙方投入的设备和设施归甲方所有。</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2.乙方负责合同期内饮水系统的安装、维护、维修、更换工作，所需配件和人工全部由乙方承担。</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3.乙方对投入的饮水设备和水质情况做定期和不定期抽检，设备系统和产品接受省（市）检验检测研究（所）院的检测，水质检测每学期至少一次，可以抽样检测，测检结果达到GB/T5750-2006《生活饮用水卫生标准》要求。乙方要记录好相关检验结果，并提交给甲方备案。如乙方无法在接到甲方通知后及时提交检测结果，甲方有权中止合同。</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4.在合同期内，乙方拥有所投资的饮水系统的产权及经营权，合同期满后，在同等条件的情况下，乙方可优先续约。</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5.乙方在甲方享有与本系统有关的商业独享权，合同期内，甲方不得与任何第三方在乙方服务范围内进行类似项目的合作，以免造成业务冲突。</w:t>
      </w:r>
    </w:p>
    <w:p>
      <w:pPr>
        <w:snapToGrid/>
        <w:spacing w:after="0" w:line="400" w:lineRule="exact"/>
        <w:jc w:val="both"/>
        <w:rPr>
          <w:rFonts w:ascii="仿宋" w:hAnsi="仿宋" w:eastAsia="仿宋" w:cs="仿宋"/>
          <w:bCs/>
          <w:color w:val="auto"/>
          <w:sz w:val="32"/>
          <w:szCs w:val="32"/>
        </w:rPr>
      </w:pPr>
      <w:r>
        <w:rPr>
          <w:rFonts w:hint="eastAsia" w:ascii="仿宋" w:hAnsi="仿宋" w:eastAsia="仿宋" w:cs="仿宋"/>
          <w:bCs/>
          <w:color w:val="auto"/>
          <w:sz w:val="32"/>
          <w:szCs w:val="32"/>
        </w:rPr>
        <w:t>6.乙方按甲方要求安装独立的预付式水电表，先付费后使用。结算标准按照《玉林师范学院水电管理办法》规定执行，（单价按照物价局收取的水电费商业用水电结算当前电1.2元/KWH、水4.64元/立方）</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7.乙方设备投入正常使用后，师生以微信、校园一卡通方式付费取水，以实际取水量收取费用。收费标准：温开水元/500毫升，开水元/500毫升，学生自愿消费。若因自来水厂或供电局能源价格变化导致水电价格波动超过20%，双方可协商调整价格。</w:t>
      </w:r>
    </w:p>
    <w:p>
      <w:pPr>
        <w:widowControl w:val="0"/>
        <w:spacing w:before="159" w:beforeLines="50" w:line="360" w:lineRule="exact"/>
        <w:rPr>
          <w:rFonts w:ascii="仿宋" w:hAnsi="仿宋" w:eastAsia="仿宋" w:cs="仿宋"/>
          <w:bCs/>
          <w:color w:val="auto"/>
          <w:sz w:val="32"/>
          <w:szCs w:val="32"/>
        </w:rPr>
      </w:pPr>
      <w:r>
        <w:rPr>
          <w:rFonts w:hint="eastAsia" w:ascii="仿宋" w:hAnsi="仿宋" w:eastAsia="仿宋" w:cs="仿宋"/>
          <w:bCs/>
          <w:color w:val="auto"/>
          <w:sz w:val="32"/>
          <w:szCs w:val="32"/>
        </w:rPr>
        <w:t>8.乙方将经营总收入减去水电成本支出剩余后的%作为甲方场地管理费，在结算时扣除。</w:t>
      </w:r>
    </w:p>
    <w:p>
      <w:pPr>
        <w:widowControl w:val="0"/>
        <w:spacing w:before="159" w:beforeLines="50" w:line="360" w:lineRule="exact"/>
        <w:rPr>
          <w:rFonts w:ascii="仿宋" w:hAnsi="仿宋" w:eastAsia="仿宋" w:cs="仿宋"/>
          <w:bCs/>
          <w:color w:val="auto"/>
          <w:sz w:val="32"/>
          <w:szCs w:val="32"/>
        </w:rPr>
      </w:pPr>
      <w:r>
        <w:rPr>
          <w:rFonts w:hint="eastAsia" w:ascii="仿宋" w:hAnsi="仿宋" w:eastAsia="仿宋" w:cs="仿宋"/>
          <w:bCs/>
          <w:color w:val="auto"/>
          <w:sz w:val="32"/>
          <w:szCs w:val="32"/>
        </w:rPr>
        <w:t>9.甲方每年按季度（不超过4次）拨付利润给乙方。甲方必须足额结算经营中产生的利润，</w:t>
      </w:r>
      <w:r>
        <w:rPr>
          <w:rFonts w:hint="eastAsia" w:ascii="仿宋" w:hAnsi="仿宋" w:eastAsia="仿宋" w:cs="仿宋"/>
          <w:color w:val="auto"/>
          <w:sz w:val="32"/>
          <w:szCs w:val="32"/>
        </w:rPr>
        <w:t>若甲方逾期付款，每天按收入款的3</w:t>
      </w:r>
      <w:r>
        <w:rPr>
          <w:rFonts w:hint="eastAsia" w:ascii="仿宋" w:hAnsi="仿宋" w:eastAsia="仿宋" w:cs="仿宋"/>
          <w:color w:val="auto"/>
          <w:sz w:val="32"/>
          <w:szCs w:val="32"/>
          <w:vertAlign w:val="superscript"/>
        </w:rPr>
        <w:t>0</w:t>
      </w:r>
      <w:r>
        <w:rPr>
          <w:rFonts w:hint="eastAsia" w:ascii="仿宋" w:hAnsi="仿宋" w:eastAsia="仿宋" w:cs="仿宋"/>
          <w:color w:val="auto"/>
          <w:sz w:val="32"/>
          <w:szCs w:val="32"/>
        </w:rPr>
        <w:t>/</w:t>
      </w:r>
      <w:r>
        <w:rPr>
          <w:rFonts w:hint="eastAsia" w:ascii="仿宋" w:hAnsi="仿宋" w:eastAsia="仿宋" w:cs="仿宋"/>
          <w:color w:val="auto"/>
          <w:sz w:val="32"/>
          <w:szCs w:val="32"/>
          <w:vertAlign w:val="subscript"/>
        </w:rPr>
        <w:t>000</w:t>
      </w:r>
      <w:r>
        <w:rPr>
          <w:rFonts w:hint="eastAsia" w:ascii="仿宋" w:hAnsi="仿宋" w:eastAsia="仿宋" w:cs="仿宋"/>
          <w:color w:val="auto"/>
          <w:sz w:val="32"/>
          <w:szCs w:val="32"/>
        </w:rPr>
        <w:t>计违约金给乙方。凡属甲方原因不能按时结算经营中费用，乙方有权停止直饮水供应并由双方协商解决。</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10.合同期内，凡是由于饮水系统及服务所引起的相关安全问题，甲方有权向乙方追究相关责任，所造成的人身及财产损失，由乙方全部承担。</w:t>
      </w:r>
    </w:p>
    <w:p>
      <w:pPr>
        <w:spacing w:line="216" w:lineRule="auto"/>
        <w:rPr>
          <w:rFonts w:ascii="仿宋" w:hAnsi="仿宋" w:eastAsia="仿宋" w:cs="仿宋"/>
          <w:b/>
          <w:bCs/>
          <w:color w:val="auto"/>
          <w:sz w:val="32"/>
          <w:szCs w:val="32"/>
        </w:rPr>
      </w:pPr>
      <w:r>
        <w:rPr>
          <w:rFonts w:hint="eastAsia" w:ascii="仿宋" w:hAnsi="仿宋" w:eastAsia="仿宋" w:cs="仿宋"/>
          <w:b/>
          <w:bCs/>
          <w:color w:val="auto"/>
          <w:sz w:val="32"/>
          <w:szCs w:val="32"/>
        </w:rPr>
        <w:t>三、甲、乙双方的其他约定</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1.乙方必须在本合同生效后</w:t>
      </w:r>
      <w:r>
        <w:rPr>
          <w:rFonts w:ascii="仿宋" w:hAnsi="仿宋" w:eastAsia="仿宋" w:cs="仿宋"/>
          <w:bCs/>
          <w:color w:val="auto"/>
          <w:sz w:val="32"/>
          <w:szCs w:val="32"/>
        </w:rPr>
        <w:t>5</w:t>
      </w:r>
      <w:r>
        <w:rPr>
          <w:rFonts w:hint="eastAsia" w:ascii="仿宋" w:hAnsi="仿宋" w:eastAsia="仿宋" w:cs="仿宋"/>
          <w:bCs/>
          <w:color w:val="auto"/>
          <w:sz w:val="32"/>
          <w:szCs w:val="32"/>
        </w:rPr>
        <w:t>个工作日内交2万元到甲方指定账户，作为履约保证金。如以后乙方增加设备投放，由甲、乙双方协商履约保证金的金额。合同期满后，甲方在收到乙方退还履约保证金申请后20个工作日内将履约保证金退还给乙方。</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2.乙方在合同期内必须对所有的饮水设备、设施进行维护，对维修故障的响应时间不得超过24小时；每次维修故障响应时间超过24小时未达48小时向甲方交纳违约金50元，超过48小时未达72小时向甲方交纳违约金100元，超过72小时向甲方交纳违约金200元；当年度违约金累计超过3000元（不含3000元），甲方有权中止合同。</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3.合同期内，乙方的服务人员要服从管理、遵守甲方规章制度。</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4.合同期内，如果甲方由于自身原因提前中止合同，甲方需向乙方支付违约金，支付的违约金额为由于提前终止合同而使乙方遭受的损失；如果由于乙方原因提前中止合同，则乙方向甲方所投入设备无偿归甲方使用，乙方不能再收取任何费用。</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5.甲方管理层、管理机构的变更及名称变更不影响本合同的执行，乙方的股东变更不影响本合同的执行。</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6.合同期内，乙方在甲方的项目若涉及到与相关法律法规相冲突的，甲方有权要求对该项目进行整改，该项目如有违法犯罪行为，甲方有权终止合同。</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7.乙方在当地必须取得生产厂家授权售后服务商，实行本地化服务。售后服务商：</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，地址</w:t>
      </w:r>
      <w:r>
        <w:rPr>
          <w:rFonts w:hint="eastAsia" w:ascii="仿宋" w:hAnsi="仿宋" w:eastAsia="仿宋" w:cs="仿宋"/>
          <w:bCs/>
          <w:color w:val="auto"/>
          <w:sz w:val="32"/>
          <w:szCs w:val="32"/>
          <w:u w:val="single"/>
        </w:rPr>
        <w:t>：</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，24小时服务电话</w:t>
      </w:r>
      <w:r>
        <w:rPr>
          <w:rFonts w:hint="eastAsia" w:ascii="仿宋" w:hAnsi="仿宋" w:eastAsia="仿宋" w:cs="仿宋"/>
          <w:bCs/>
          <w:color w:val="auto"/>
          <w:sz w:val="32"/>
          <w:szCs w:val="32"/>
          <w:u w:val="single"/>
        </w:rPr>
        <w:t>：</w:t>
      </w:r>
      <w:r>
        <w:rPr>
          <w:rFonts w:hint="eastAsia" w:ascii="仿宋" w:hAnsi="仿宋" w:eastAsia="仿宋" w:cs="仿宋"/>
          <w:bCs/>
          <w:color w:val="auto"/>
          <w:sz w:val="32"/>
          <w:szCs w:val="32"/>
          <w:u w:val="single"/>
          <w:lang w:val="en-US" w:eastAsia="zh-CN"/>
        </w:rPr>
        <w:t xml:space="preserve">     </w:t>
      </w:r>
      <w:r>
        <w:rPr>
          <w:rFonts w:hint="eastAsia" w:ascii="仿宋" w:hAnsi="仿宋" w:eastAsia="仿宋" w:cs="仿宋"/>
          <w:bCs/>
          <w:color w:val="auto"/>
          <w:sz w:val="32"/>
          <w:szCs w:val="32"/>
        </w:rPr>
        <w:t>。</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8.合同期间，未尽事宜，经过双方协商修改，并由甲乙双方盖章生效。本协议书一式六份，甲方执五份，乙方执一份，协议自签订之日起生效。</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甲方单位（盖章） ：                乙方单位（盖章） ：</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 xml:space="preserve">玉林师范学院                           </w:t>
      </w:r>
    </w:p>
    <w:p>
      <w:pPr>
        <w:spacing w:line="400" w:lineRule="exact"/>
        <w:rPr>
          <w:rFonts w:ascii="仿宋" w:hAnsi="仿宋" w:eastAsia="仿宋" w:cs="仿宋"/>
          <w:bCs/>
          <w:color w:val="auto"/>
          <w:sz w:val="32"/>
          <w:szCs w:val="32"/>
        </w:rPr>
      </w:pPr>
      <w:r>
        <w:rPr>
          <w:rFonts w:hint="eastAsia" w:ascii="仿宋" w:hAnsi="仿宋" w:eastAsia="仿宋" w:cs="仿宋"/>
          <w:bCs/>
          <w:color w:val="auto"/>
          <w:sz w:val="32"/>
          <w:szCs w:val="32"/>
        </w:rPr>
        <w:t>甲方项目负责人（签字） ：       乙方项目负责人（签字）：</w:t>
      </w:r>
    </w:p>
    <w:p>
      <w:pPr>
        <w:spacing w:line="400" w:lineRule="exact"/>
        <w:ind w:left="320" w:hanging="320" w:hangingChars="100"/>
        <w:rPr>
          <w:rFonts w:ascii="仿宋" w:hAnsi="仿宋" w:eastAsia="仿宋" w:cs="仿宋"/>
          <w:bCs/>
          <w:color w:val="auto"/>
          <w:sz w:val="32"/>
          <w:szCs w:val="32"/>
        </w:rPr>
      </w:pP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 xml:space="preserve">年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 xml:space="preserve"> 日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日</w:t>
      </w:r>
    </w:p>
    <w:p>
      <w:pPr>
        <w:spacing w:line="400" w:lineRule="exact"/>
        <w:rPr>
          <w:rFonts w:ascii="仿宋" w:hAnsi="仿宋" w:eastAsia="仿宋" w:cs="仿宋"/>
          <w:bCs/>
          <w:color w:val="auto"/>
          <w:sz w:val="32"/>
          <w:szCs w:val="32"/>
        </w:rPr>
      </w:pPr>
    </w:p>
    <w:p>
      <w:pPr>
        <w:adjustRightInd/>
        <w:snapToGrid/>
        <w:spacing w:before="0" w:beforeAutospacing="0" w:after="0"/>
        <w:rPr>
          <w:rFonts w:ascii="仿宋" w:hAnsi="仿宋" w:eastAsia="仿宋" w:cs="仿宋"/>
          <w:bCs/>
          <w:color w:val="auto"/>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D3C1"/>
    <w:multiLevelType w:val="multilevel"/>
    <w:tmpl w:val="19E9D3C1"/>
    <w:lvl w:ilvl="0" w:tentative="0">
      <w:start w:val="1"/>
      <w:numFmt w:val="chineseCounting"/>
      <w:suff w:val="nothing"/>
      <w:lvlText w:val="%1、"/>
      <w:lvlJc w:val="left"/>
      <w:pPr>
        <w:tabs>
          <w:tab w:val="left" w:pos="0"/>
        </w:tabs>
        <w:ind w:left="0" w:firstLine="400"/>
      </w:pPr>
      <w:rPr>
        <w:rFonts w:hint="eastAsia" w:ascii="宋体" w:hAnsi="宋体" w:eastAsia="宋体" w:cs="宋体"/>
      </w:rPr>
    </w:lvl>
    <w:lvl w:ilvl="1" w:tentative="0">
      <w:start w:val="1"/>
      <w:numFmt w:val="decimal"/>
      <w:pStyle w:val="2"/>
      <w:suff w:val="nothing"/>
      <w:lvlText w:val="%2．"/>
      <w:lvlJc w:val="left"/>
      <w:pPr>
        <w:ind w:left="-40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lowerLetter"/>
      <w:suff w:val="nothing"/>
      <w:lvlText w:val="%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2C"/>
    <w:rsid w:val="0001089E"/>
    <w:rsid w:val="000258F9"/>
    <w:rsid w:val="00026BF3"/>
    <w:rsid w:val="000A073E"/>
    <w:rsid w:val="000B231D"/>
    <w:rsid w:val="000B39A5"/>
    <w:rsid w:val="000D2399"/>
    <w:rsid w:val="000F630C"/>
    <w:rsid w:val="001078C0"/>
    <w:rsid w:val="00107AD7"/>
    <w:rsid w:val="00125BFD"/>
    <w:rsid w:val="00140B2C"/>
    <w:rsid w:val="001F314E"/>
    <w:rsid w:val="002028D8"/>
    <w:rsid w:val="0028465B"/>
    <w:rsid w:val="002979B5"/>
    <w:rsid w:val="002A4FB9"/>
    <w:rsid w:val="003167C6"/>
    <w:rsid w:val="003516B7"/>
    <w:rsid w:val="003A452E"/>
    <w:rsid w:val="003B05DB"/>
    <w:rsid w:val="003D04CE"/>
    <w:rsid w:val="004258AF"/>
    <w:rsid w:val="00472475"/>
    <w:rsid w:val="004774F8"/>
    <w:rsid w:val="004B2C13"/>
    <w:rsid w:val="004F0F8B"/>
    <w:rsid w:val="00544D2E"/>
    <w:rsid w:val="005554DD"/>
    <w:rsid w:val="0058416B"/>
    <w:rsid w:val="005A221D"/>
    <w:rsid w:val="005D3CD0"/>
    <w:rsid w:val="005E2D66"/>
    <w:rsid w:val="00611025"/>
    <w:rsid w:val="006904BA"/>
    <w:rsid w:val="00692088"/>
    <w:rsid w:val="00713A57"/>
    <w:rsid w:val="007269D8"/>
    <w:rsid w:val="00741F9E"/>
    <w:rsid w:val="00780124"/>
    <w:rsid w:val="007B16F4"/>
    <w:rsid w:val="007C78F2"/>
    <w:rsid w:val="00886A8D"/>
    <w:rsid w:val="008A0CE2"/>
    <w:rsid w:val="008A73B4"/>
    <w:rsid w:val="008E1C30"/>
    <w:rsid w:val="00952FA2"/>
    <w:rsid w:val="00974C21"/>
    <w:rsid w:val="009A2570"/>
    <w:rsid w:val="009E667F"/>
    <w:rsid w:val="009F200E"/>
    <w:rsid w:val="009F4B36"/>
    <w:rsid w:val="00AB3733"/>
    <w:rsid w:val="00AE29CF"/>
    <w:rsid w:val="00AE6EC5"/>
    <w:rsid w:val="00B23A4C"/>
    <w:rsid w:val="00B25AC3"/>
    <w:rsid w:val="00B537EA"/>
    <w:rsid w:val="00B55E24"/>
    <w:rsid w:val="00B57952"/>
    <w:rsid w:val="00B669F5"/>
    <w:rsid w:val="00BE3C9B"/>
    <w:rsid w:val="00C26DDA"/>
    <w:rsid w:val="00C95C44"/>
    <w:rsid w:val="00CB3899"/>
    <w:rsid w:val="00CC4DD4"/>
    <w:rsid w:val="00CC5A7E"/>
    <w:rsid w:val="00D52AFB"/>
    <w:rsid w:val="00D57DDA"/>
    <w:rsid w:val="00DC5B59"/>
    <w:rsid w:val="00DF2251"/>
    <w:rsid w:val="00E02796"/>
    <w:rsid w:val="00E239E7"/>
    <w:rsid w:val="00E320A9"/>
    <w:rsid w:val="00E504CD"/>
    <w:rsid w:val="00E84947"/>
    <w:rsid w:val="00EC5D2C"/>
    <w:rsid w:val="00ED20F4"/>
    <w:rsid w:val="00F058AB"/>
    <w:rsid w:val="00F14119"/>
    <w:rsid w:val="00F80A18"/>
    <w:rsid w:val="00F91221"/>
    <w:rsid w:val="00FC0CF1"/>
    <w:rsid w:val="00FC1A5E"/>
    <w:rsid w:val="01B6644D"/>
    <w:rsid w:val="056D4E49"/>
    <w:rsid w:val="0A6C74E2"/>
    <w:rsid w:val="12484E26"/>
    <w:rsid w:val="126D4CC5"/>
    <w:rsid w:val="1396730B"/>
    <w:rsid w:val="1A620950"/>
    <w:rsid w:val="1DDD0727"/>
    <w:rsid w:val="1F981ED7"/>
    <w:rsid w:val="270B2F1E"/>
    <w:rsid w:val="28C12007"/>
    <w:rsid w:val="29D5693B"/>
    <w:rsid w:val="29E41119"/>
    <w:rsid w:val="2FB55927"/>
    <w:rsid w:val="3162376A"/>
    <w:rsid w:val="33272BD7"/>
    <w:rsid w:val="334B1CE7"/>
    <w:rsid w:val="357B109F"/>
    <w:rsid w:val="35FB0E8B"/>
    <w:rsid w:val="3674343C"/>
    <w:rsid w:val="36745E46"/>
    <w:rsid w:val="3802532F"/>
    <w:rsid w:val="3AAB0952"/>
    <w:rsid w:val="3C1C5705"/>
    <w:rsid w:val="3E167B4D"/>
    <w:rsid w:val="3EEA70D6"/>
    <w:rsid w:val="3FB2676B"/>
    <w:rsid w:val="400E09B9"/>
    <w:rsid w:val="40395106"/>
    <w:rsid w:val="458B1433"/>
    <w:rsid w:val="46AB7676"/>
    <w:rsid w:val="48E04B48"/>
    <w:rsid w:val="491E52D2"/>
    <w:rsid w:val="50BF4B35"/>
    <w:rsid w:val="52B102E3"/>
    <w:rsid w:val="574A1FEF"/>
    <w:rsid w:val="5DFE1778"/>
    <w:rsid w:val="5F4511DC"/>
    <w:rsid w:val="5FE53738"/>
    <w:rsid w:val="5FFF7680"/>
    <w:rsid w:val="60354368"/>
    <w:rsid w:val="60F30422"/>
    <w:rsid w:val="625B208A"/>
    <w:rsid w:val="648C10F9"/>
    <w:rsid w:val="671F0AE9"/>
    <w:rsid w:val="6A330247"/>
    <w:rsid w:val="6B571132"/>
    <w:rsid w:val="74A918A3"/>
    <w:rsid w:val="75DE46B8"/>
    <w:rsid w:val="78EB1F7D"/>
    <w:rsid w:val="796B2C20"/>
    <w:rsid w:val="7A3460AE"/>
    <w:rsid w:val="7C635C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sz w:val="22"/>
      <w:szCs w:val="22"/>
      <w:lang w:val="en-US" w:eastAsia="zh-CN" w:bidi="ar-SA"/>
    </w:rPr>
  </w:style>
  <w:style w:type="paragraph" w:styleId="3">
    <w:name w:val="heading 1"/>
    <w:basedOn w:val="1"/>
    <w:next w:val="1"/>
    <w:link w:val="16"/>
    <w:qFormat/>
    <w:uiPriority w:val="99"/>
    <w:pPr>
      <w:keepNext/>
      <w:keepLines/>
      <w:widowControl w:val="0"/>
      <w:adjustRightInd/>
      <w:snapToGrid/>
      <w:spacing w:after="0" w:line="360" w:lineRule="auto"/>
      <w:ind w:left="420" w:hanging="420"/>
      <w:outlineLvl w:val="0"/>
    </w:pPr>
    <w:rPr>
      <w:rFonts w:ascii="Times New Roman" w:hAnsi="Times New Roman" w:eastAsia="宋体"/>
      <w:b/>
      <w:bCs/>
      <w:kern w:val="44"/>
      <w:sz w:val="28"/>
      <w:szCs w:val="28"/>
    </w:rPr>
  </w:style>
  <w:style w:type="paragraph" w:styleId="2">
    <w:name w:val="heading 2"/>
    <w:basedOn w:val="1"/>
    <w:next w:val="1"/>
    <w:unhideWhenUsed/>
    <w:qFormat/>
    <w:uiPriority w:val="0"/>
    <w:pPr>
      <w:keepNext/>
      <w:keepLines/>
      <w:numPr>
        <w:ilvl w:val="1"/>
        <w:numId w:val="1"/>
      </w:numPr>
      <w:tabs>
        <w:tab w:val="left" w:pos="567"/>
      </w:tabs>
      <w:spacing w:line="360" w:lineRule="auto"/>
      <w:ind w:left="0"/>
      <w:outlineLvl w:val="1"/>
    </w:pPr>
    <w:rPr>
      <w:rFonts w:ascii="Arial" w:hAnsi="Arial" w:eastAsia="宋体"/>
      <w:b/>
      <w:bCs/>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unhideWhenUsed/>
    <w:qFormat/>
    <w:uiPriority w:val="0"/>
    <w:pPr>
      <w:spacing w:before="120" w:line="360" w:lineRule="auto"/>
      <w:ind w:firstLine="960" w:firstLineChars="200"/>
    </w:pPr>
    <w:rPr>
      <w:rFonts w:ascii="Cambria" w:hAnsi="Cambria" w:eastAsia="宋体"/>
      <w:sz w:val="24"/>
      <w:szCs w:val="24"/>
    </w:rPr>
  </w:style>
  <w:style w:type="paragraph" w:styleId="5">
    <w:name w:val="annotation text"/>
    <w:basedOn w:val="1"/>
    <w:link w:val="24"/>
    <w:semiHidden/>
    <w:unhideWhenUsed/>
    <w:qFormat/>
    <w:uiPriority w:val="99"/>
  </w:style>
  <w:style w:type="paragraph" w:styleId="6">
    <w:name w:val="Body Text Indent"/>
    <w:basedOn w:val="1"/>
    <w:qFormat/>
    <w:uiPriority w:val="0"/>
    <w:pPr>
      <w:ind w:firstLine="630"/>
    </w:pPr>
    <w:rPr>
      <w:rFonts w:ascii="Times New Roman" w:hAnsi="Times New Roman" w:eastAsia="宋体"/>
      <w:sz w:val="32"/>
      <w:szCs w:val="20"/>
    </w:rPr>
  </w:style>
  <w:style w:type="paragraph" w:styleId="7">
    <w:name w:val="Balloon Text"/>
    <w:basedOn w:val="1"/>
    <w:link w:val="26"/>
    <w:semiHidden/>
    <w:unhideWhenUsed/>
    <w:qFormat/>
    <w:uiPriority w:val="99"/>
    <w:pPr>
      <w:spacing w:before="0" w:after="0"/>
    </w:pPr>
    <w:rPr>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semiHidden/>
    <w:unhideWhenUsed/>
    <w:qFormat/>
    <w:uiPriority w:val="99"/>
    <w:pPr>
      <w:adjustRightInd/>
      <w:snapToGrid/>
      <w:spacing w:after="100" w:afterAutospacing="1"/>
    </w:pPr>
    <w:rPr>
      <w:rFonts w:ascii="宋体" w:hAnsi="宋体" w:eastAsia="宋体" w:cs="宋体"/>
      <w:sz w:val="24"/>
      <w:szCs w:val="24"/>
    </w:rPr>
  </w:style>
  <w:style w:type="paragraph" w:styleId="11">
    <w:name w:val="annotation subject"/>
    <w:basedOn w:val="5"/>
    <w:next w:val="5"/>
    <w:link w:val="25"/>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customStyle="1" w:styleId="15">
    <w:name w:val="标题6"/>
    <w:basedOn w:val="1"/>
    <w:next w:val="3"/>
    <w:qFormat/>
    <w:uiPriority w:val="0"/>
    <w:pPr>
      <w:spacing w:beforeLines="50" w:afterLines="50" w:line="520" w:lineRule="atLeast"/>
      <w:ind w:firstLine="200" w:firstLineChars="200"/>
      <w:jc w:val="both"/>
    </w:pPr>
    <w:rPr>
      <w:rFonts w:ascii="Times New Roman" w:hAnsi="Times New Roman" w:cs="Arial"/>
      <w:b/>
      <w:kern w:val="2"/>
    </w:rPr>
  </w:style>
  <w:style w:type="character" w:customStyle="1" w:styleId="16">
    <w:name w:val="标题 1 Char"/>
    <w:basedOn w:val="13"/>
    <w:link w:val="3"/>
    <w:qFormat/>
    <w:uiPriority w:val="99"/>
    <w:rPr>
      <w:rFonts w:ascii="Times New Roman" w:hAnsi="Times New Roman" w:eastAsia="宋体" w:cs="Times New Roman"/>
      <w:bCs/>
      <w:kern w:val="44"/>
      <w:sz w:val="28"/>
      <w:szCs w:val="28"/>
    </w:rPr>
  </w:style>
  <w:style w:type="paragraph" w:styleId="17">
    <w:name w:val="List Paragraph"/>
    <w:basedOn w:val="1"/>
    <w:unhideWhenUsed/>
    <w:qFormat/>
    <w:uiPriority w:val="99"/>
    <w:pPr>
      <w:ind w:firstLine="420" w:firstLineChars="200"/>
    </w:pPr>
  </w:style>
  <w:style w:type="character" w:customStyle="1" w:styleId="18">
    <w:name w:val="ca-31"/>
    <w:basedOn w:val="13"/>
    <w:qFormat/>
    <w:uiPriority w:val="0"/>
    <w:rPr>
      <w:rFonts w:hint="eastAsia" w:ascii="楷体_GB2312" w:eastAsia="楷体_GB2312"/>
      <w:sz w:val="28"/>
      <w:szCs w:val="28"/>
    </w:rPr>
  </w:style>
  <w:style w:type="paragraph" w:customStyle="1" w:styleId="19">
    <w:name w:val="表格5"/>
    <w:basedOn w:val="1"/>
    <w:qFormat/>
    <w:uiPriority w:val="0"/>
    <w:pPr>
      <w:jc w:val="center"/>
    </w:pPr>
    <w:rPr>
      <w:rFonts w:ascii="Times New Roman" w:hAnsi="Times New Roman" w:eastAsia="宋体"/>
      <w:sz w:val="21"/>
      <w:szCs w:val="24"/>
    </w:rPr>
  </w:style>
  <w:style w:type="paragraph" w:customStyle="1" w:styleId="20">
    <w:name w:val="表格5号"/>
    <w:basedOn w:val="1"/>
    <w:qFormat/>
    <w:uiPriority w:val="0"/>
    <w:pPr>
      <w:wordWrap w:val="0"/>
      <w:topLinePunct/>
      <w:spacing w:after="0"/>
      <w:jc w:val="center"/>
    </w:pPr>
    <w:rPr>
      <w:rFonts w:ascii="Calibri" w:hAnsi="Calibri" w:eastAsia="宋体"/>
      <w:sz w:val="21"/>
    </w:rPr>
  </w:style>
  <w:style w:type="character" w:customStyle="1" w:styleId="21">
    <w:name w:val="news"/>
    <w:basedOn w:val="13"/>
    <w:qFormat/>
    <w:uiPriority w:val="0"/>
  </w:style>
  <w:style w:type="paragraph" w:customStyle="1" w:styleId="22">
    <w:name w:val="标准正文"/>
    <w:basedOn w:val="6"/>
    <w:qFormat/>
    <w:uiPriority w:val="0"/>
    <w:pPr>
      <w:tabs>
        <w:tab w:val="left" w:pos="360"/>
      </w:tabs>
      <w:spacing w:line="360" w:lineRule="auto"/>
      <w:ind w:firstLine="0"/>
    </w:pPr>
    <w:rPr>
      <w:rFonts w:ascii="Arial" w:hAnsi="Arial"/>
      <w:color w:val="000000"/>
    </w:rPr>
  </w:style>
  <w:style w:type="character" w:customStyle="1" w:styleId="23">
    <w:name w:val="页眉 Char"/>
    <w:basedOn w:val="13"/>
    <w:link w:val="9"/>
    <w:semiHidden/>
    <w:qFormat/>
    <w:uiPriority w:val="99"/>
    <w:rPr>
      <w:rFonts w:ascii="Tahoma" w:hAnsi="Tahoma" w:eastAsia="微软雅黑"/>
      <w:sz w:val="18"/>
      <w:szCs w:val="18"/>
    </w:rPr>
  </w:style>
  <w:style w:type="character" w:customStyle="1" w:styleId="24">
    <w:name w:val="批注文字 Char"/>
    <w:basedOn w:val="13"/>
    <w:link w:val="5"/>
    <w:semiHidden/>
    <w:qFormat/>
    <w:uiPriority w:val="99"/>
    <w:rPr>
      <w:rFonts w:ascii="Tahoma" w:hAnsi="Tahoma" w:eastAsia="微软雅黑"/>
      <w:sz w:val="22"/>
      <w:szCs w:val="22"/>
    </w:rPr>
  </w:style>
  <w:style w:type="character" w:customStyle="1" w:styleId="25">
    <w:name w:val="批注主题 Char"/>
    <w:basedOn w:val="24"/>
    <w:link w:val="11"/>
    <w:semiHidden/>
    <w:qFormat/>
    <w:uiPriority w:val="99"/>
    <w:rPr>
      <w:rFonts w:ascii="Tahoma" w:hAnsi="Tahoma" w:eastAsia="微软雅黑"/>
      <w:b/>
      <w:bCs/>
      <w:sz w:val="22"/>
      <w:szCs w:val="22"/>
    </w:rPr>
  </w:style>
  <w:style w:type="character" w:customStyle="1" w:styleId="26">
    <w:name w:val="批注框文本 Char"/>
    <w:basedOn w:val="13"/>
    <w:link w:val="7"/>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03B8B-A33A-4B32-8FDE-E2B29AB3451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15</Pages>
  <Words>1059</Words>
  <Characters>6038</Characters>
  <Lines>50</Lines>
  <Paragraphs>14</Paragraphs>
  <TotalTime>4</TotalTime>
  <ScaleCrop>false</ScaleCrop>
  <LinksUpToDate>false</LinksUpToDate>
  <CharactersWithSpaces>7083</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2020-07-27T09:19:00Z</dcterms:created>
  <dc:creator>Lenovo</dc:creator>
  <cp:lastModifiedBy>公举梦想家</cp:lastModifiedBy>
  <cp:lastPrinted>2020-06-30T07:55:00Z</cp:lastPrinted>
  <dcterms:modified xsi:type="dcterms:W3CDTF">2020-07-28T07:27:34Z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